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918A33" w14:textId="77777777" w:rsidR="004F77DE" w:rsidRPr="004F77DE" w:rsidRDefault="004F77DE" w:rsidP="004F77DE">
      <w:pPr>
        <w:spacing w:before="100" w:beforeAutospacing="1" w:after="100" w:afterAutospacing="1" w:line="240" w:lineRule="auto"/>
        <w:outlineLvl w:val="0"/>
        <w:rPr>
          <w:rFonts w:ascii="Public Sans" w:eastAsia="Times New Roman" w:hAnsi="Public Sans" w:cs="Arial"/>
          <w:b/>
          <w:bCs/>
          <w:color w:val="212121"/>
          <w:kern w:val="36"/>
          <w:sz w:val="32"/>
          <w:szCs w:val="32"/>
        </w:rPr>
      </w:pPr>
      <w:r w:rsidRPr="004F77DE">
        <w:rPr>
          <w:rFonts w:ascii="Public Sans" w:eastAsia="Times New Roman" w:hAnsi="Public Sans" w:cs="Arial"/>
          <w:b/>
          <w:bCs/>
          <w:color w:val="212121"/>
          <w:kern w:val="36"/>
          <w:sz w:val="32"/>
          <w:szCs w:val="32"/>
        </w:rPr>
        <w:t>Coronavirus Food Assistance Program 2 for Floriculture and Nursery Crop Producers</w:t>
      </w:r>
    </w:p>
    <w:p w14:paraId="636FAF20" w14:textId="77777777" w:rsidR="004F77DE" w:rsidRPr="004F77DE" w:rsidRDefault="004F77DE" w:rsidP="004F77DE">
      <w:pPr>
        <w:spacing w:before="100" w:beforeAutospacing="1" w:after="100" w:afterAutospacing="1" w:line="240" w:lineRule="auto"/>
        <w:rPr>
          <w:rFonts w:ascii="Public Sans" w:eastAsia="Times New Roman" w:hAnsi="Public Sans" w:cs="Times New Roman"/>
          <w:color w:val="212121"/>
        </w:rPr>
      </w:pPr>
      <w:r w:rsidRPr="004F77DE">
        <w:rPr>
          <w:rFonts w:ascii="Public Sans" w:eastAsia="Times New Roman" w:hAnsi="Public Sans" w:cs="Times New Roman"/>
          <w:color w:val="212121"/>
        </w:rPr>
        <w:t>Are you a floriculture or nursery crop producer whose operation has been directly impacted by the coronavirus pandemic? USDA is implementing Coronavirus Food Assistance Program 2 for agricultural producers who continue to face market disruptions and associated costs because of COVID-19.</w:t>
      </w:r>
    </w:p>
    <w:p w14:paraId="4E9E4E58" w14:textId="77777777" w:rsidR="004F77DE" w:rsidRPr="004F77DE" w:rsidRDefault="004F77DE" w:rsidP="004F77DE">
      <w:pPr>
        <w:spacing w:before="100" w:beforeAutospacing="1" w:after="100" w:afterAutospacing="1" w:line="240" w:lineRule="auto"/>
        <w:rPr>
          <w:rFonts w:ascii="Public Sans" w:eastAsia="Times New Roman" w:hAnsi="Public Sans" w:cs="Times New Roman"/>
          <w:color w:val="212121"/>
        </w:rPr>
      </w:pPr>
      <w:r w:rsidRPr="004F77DE">
        <w:rPr>
          <w:rFonts w:ascii="Public Sans" w:eastAsia="Times New Roman" w:hAnsi="Public Sans" w:cs="Times New Roman"/>
          <w:color w:val="212121"/>
        </w:rPr>
        <w:t>Coronavirus Food Assistance Program 2, or CFAP 2, will provide producers with financial assistance that gives them the ability to absorb some of the increased marketing costs associated with the COVID-19 pandemic. USDA will accept CFAP 2 applications from September 21, 2020 through December 11, 2020. Learn more at </w:t>
      </w:r>
      <w:hyperlink r:id="rId5" w:history="1">
        <w:r w:rsidRPr="004F77DE">
          <w:rPr>
            <w:rFonts w:ascii="Public Sans" w:eastAsia="Times New Roman" w:hAnsi="Public Sans" w:cs="Times New Roman"/>
            <w:color w:val="4C2C92"/>
            <w:u w:val="single"/>
          </w:rPr>
          <w:t>farmers.gov/</w:t>
        </w:r>
        <w:proofErr w:type="spellStart"/>
        <w:r w:rsidRPr="004F77DE">
          <w:rPr>
            <w:rFonts w:ascii="Public Sans" w:eastAsia="Times New Roman" w:hAnsi="Public Sans" w:cs="Times New Roman"/>
            <w:color w:val="4C2C92"/>
            <w:u w:val="single"/>
          </w:rPr>
          <w:t>cfap</w:t>
        </w:r>
        <w:proofErr w:type="spellEnd"/>
      </w:hyperlink>
      <w:r w:rsidRPr="004F77DE">
        <w:rPr>
          <w:rFonts w:ascii="Public Sans" w:eastAsia="Times New Roman" w:hAnsi="Public Sans" w:cs="Times New Roman"/>
          <w:color w:val="212121"/>
        </w:rPr>
        <w:t>.</w:t>
      </w:r>
    </w:p>
    <w:p w14:paraId="2A305924" w14:textId="77777777" w:rsidR="004F77DE" w:rsidRPr="004F77DE" w:rsidRDefault="004F77DE" w:rsidP="004F77DE">
      <w:pPr>
        <w:spacing w:before="100" w:beforeAutospacing="1" w:after="100" w:afterAutospacing="1" w:line="240" w:lineRule="auto"/>
        <w:outlineLvl w:val="1"/>
        <w:rPr>
          <w:rFonts w:ascii="Public Sans" w:eastAsia="Times New Roman" w:hAnsi="Public Sans" w:cs="Times New Roman"/>
          <w:b/>
          <w:bCs/>
          <w:color w:val="212121"/>
          <w:sz w:val="32"/>
          <w:szCs w:val="32"/>
        </w:rPr>
      </w:pPr>
      <w:r w:rsidRPr="004F77DE">
        <w:rPr>
          <w:rFonts w:ascii="Public Sans" w:eastAsia="Times New Roman" w:hAnsi="Public Sans" w:cs="Times New Roman"/>
          <w:b/>
          <w:bCs/>
          <w:color w:val="212121"/>
          <w:sz w:val="32"/>
          <w:szCs w:val="32"/>
        </w:rPr>
        <w:t>Eligible Floriculture and Nursery Crops</w:t>
      </w:r>
    </w:p>
    <w:p w14:paraId="1BD88562" w14:textId="77777777" w:rsidR="004F77DE" w:rsidRPr="004F77DE" w:rsidRDefault="004F77DE" w:rsidP="004F77DE">
      <w:pPr>
        <w:spacing w:before="100" w:beforeAutospacing="1" w:after="100" w:afterAutospacing="1" w:line="240" w:lineRule="auto"/>
        <w:rPr>
          <w:rFonts w:ascii="Public Sans" w:eastAsia="Times New Roman" w:hAnsi="Public Sans" w:cs="Times New Roman"/>
          <w:color w:val="212121"/>
        </w:rPr>
      </w:pPr>
      <w:r w:rsidRPr="004F77DE">
        <w:rPr>
          <w:rFonts w:ascii="Public Sans" w:eastAsia="Times New Roman" w:hAnsi="Public Sans" w:cs="Times New Roman"/>
          <w:b/>
          <w:bCs/>
          <w:color w:val="212121"/>
        </w:rPr>
        <w:t>Floriculture eligible for CFAP 2 includes:</w:t>
      </w:r>
      <w:r w:rsidRPr="004F77DE">
        <w:rPr>
          <w:rFonts w:ascii="Public Sans" w:eastAsia="Times New Roman" w:hAnsi="Public Sans" w:cs="Times New Roman"/>
          <w:color w:val="212121"/>
        </w:rPr>
        <w:t> cut flowers and cut greenery from annual and perennial flowering plants grown in a container or controlled environment for commercial sale.</w:t>
      </w:r>
    </w:p>
    <w:p w14:paraId="5C81C921" w14:textId="77777777" w:rsidR="004F77DE" w:rsidRPr="004F77DE" w:rsidRDefault="004F77DE" w:rsidP="004F77DE">
      <w:pPr>
        <w:spacing w:before="100" w:beforeAutospacing="1" w:after="100" w:afterAutospacing="1" w:line="240" w:lineRule="auto"/>
        <w:rPr>
          <w:rFonts w:ascii="Public Sans" w:eastAsia="Times New Roman" w:hAnsi="Public Sans" w:cs="Times New Roman"/>
          <w:color w:val="212121"/>
        </w:rPr>
      </w:pPr>
      <w:r w:rsidRPr="004F77DE">
        <w:rPr>
          <w:rFonts w:ascii="Public Sans" w:eastAsia="Times New Roman" w:hAnsi="Public Sans" w:cs="Times New Roman"/>
          <w:b/>
          <w:bCs/>
          <w:color w:val="212121"/>
        </w:rPr>
        <w:t>Nursery crops eligible for CFAP 2 include:</w:t>
      </w:r>
      <w:r w:rsidRPr="004F77DE">
        <w:rPr>
          <w:rFonts w:ascii="Public Sans" w:eastAsia="Times New Roman" w:hAnsi="Public Sans" w:cs="Times New Roman"/>
          <w:color w:val="212121"/>
        </w:rPr>
        <w:t> decorative or nondecorative plants grown in a container or controlled environment for commercial sale.</w:t>
      </w:r>
    </w:p>
    <w:p w14:paraId="7A0DF098" w14:textId="77777777" w:rsidR="004F77DE" w:rsidRPr="004F77DE" w:rsidRDefault="004F77DE" w:rsidP="004F77DE">
      <w:pPr>
        <w:spacing w:before="100" w:beforeAutospacing="1" w:after="100" w:afterAutospacing="1" w:line="240" w:lineRule="auto"/>
        <w:rPr>
          <w:rFonts w:ascii="Public Sans" w:eastAsia="Times New Roman" w:hAnsi="Public Sans" w:cs="Times New Roman"/>
          <w:color w:val="212121"/>
        </w:rPr>
      </w:pPr>
      <w:r w:rsidRPr="004F77DE">
        <w:rPr>
          <w:rFonts w:ascii="Public Sans" w:eastAsia="Times New Roman" w:hAnsi="Public Sans" w:cs="Times New Roman"/>
          <w:b/>
          <w:bCs/>
          <w:color w:val="212121"/>
        </w:rPr>
        <w:t>Cactus</w:t>
      </w:r>
      <w:r w:rsidRPr="004F77DE">
        <w:rPr>
          <w:rFonts w:ascii="Public Sans" w:eastAsia="Times New Roman" w:hAnsi="Public Sans" w:cs="Times New Roman"/>
          <w:color w:val="212121"/>
        </w:rPr>
        <w:t> and </w:t>
      </w:r>
      <w:r w:rsidRPr="004F77DE">
        <w:rPr>
          <w:rFonts w:ascii="Public Sans" w:eastAsia="Times New Roman" w:hAnsi="Public Sans" w:cs="Times New Roman"/>
          <w:b/>
          <w:bCs/>
          <w:color w:val="212121"/>
        </w:rPr>
        <w:t>Christmas trees</w:t>
      </w:r>
      <w:r w:rsidRPr="004F77DE">
        <w:rPr>
          <w:rFonts w:ascii="Public Sans" w:eastAsia="Times New Roman" w:hAnsi="Public Sans" w:cs="Times New Roman"/>
          <w:color w:val="212121"/>
        </w:rPr>
        <w:t> are also eligible for CFAP 2.</w:t>
      </w:r>
    </w:p>
    <w:p w14:paraId="03D3EFDB" w14:textId="77777777" w:rsidR="004F77DE" w:rsidRPr="004F77DE" w:rsidRDefault="004F77DE" w:rsidP="004F77DE">
      <w:pPr>
        <w:spacing w:before="100" w:beforeAutospacing="1" w:after="100" w:afterAutospacing="1" w:line="240" w:lineRule="auto"/>
        <w:rPr>
          <w:rFonts w:ascii="Public Sans" w:eastAsia="Times New Roman" w:hAnsi="Public Sans" w:cs="Times New Roman"/>
          <w:color w:val="212121"/>
        </w:rPr>
      </w:pPr>
      <w:r w:rsidRPr="004F77DE">
        <w:rPr>
          <w:rFonts w:ascii="Public Sans" w:eastAsia="Times New Roman" w:hAnsi="Public Sans" w:cs="Times New Roman"/>
          <w:color w:val="212121"/>
        </w:rPr>
        <w:t>CFAP 2 payments are available for eligible producers of floriculture and nursery crops, including cactus and Christmas trees, which are categorized as </w:t>
      </w:r>
      <w:r w:rsidRPr="004F77DE">
        <w:rPr>
          <w:rFonts w:ascii="Public Sans" w:eastAsia="Times New Roman" w:hAnsi="Public Sans" w:cs="Times New Roman"/>
          <w:b/>
          <w:bCs/>
          <w:color w:val="212121"/>
        </w:rPr>
        <w:t>sales commodities</w:t>
      </w:r>
      <w:r w:rsidRPr="004F77DE">
        <w:rPr>
          <w:rFonts w:ascii="Public Sans" w:eastAsia="Times New Roman" w:hAnsi="Public Sans" w:cs="Times New Roman"/>
          <w:color w:val="212121"/>
        </w:rPr>
        <w:t>. Payment calculations will use a sales-based approach, where producers of eligible commodities are paid based on five payment gradations associated with their 2019 sales.</w:t>
      </w:r>
    </w:p>
    <w:p w14:paraId="74A5691D" w14:textId="77777777" w:rsidR="004F77DE" w:rsidRPr="004F77DE" w:rsidRDefault="004F77DE" w:rsidP="004F77DE">
      <w:pPr>
        <w:spacing w:before="100" w:beforeAutospacing="1" w:after="100" w:afterAutospacing="1" w:line="240" w:lineRule="auto"/>
        <w:outlineLvl w:val="1"/>
        <w:rPr>
          <w:rFonts w:ascii="Public Sans" w:eastAsia="Times New Roman" w:hAnsi="Public Sans" w:cs="Times New Roman"/>
          <w:b/>
          <w:bCs/>
          <w:color w:val="212121"/>
          <w:sz w:val="32"/>
          <w:szCs w:val="32"/>
        </w:rPr>
      </w:pPr>
      <w:r w:rsidRPr="004F77DE">
        <w:rPr>
          <w:rFonts w:ascii="Public Sans" w:eastAsia="Times New Roman" w:hAnsi="Public Sans" w:cs="Times New Roman"/>
          <w:b/>
          <w:bCs/>
          <w:color w:val="212121"/>
          <w:sz w:val="32"/>
          <w:szCs w:val="32"/>
        </w:rPr>
        <w:t>CFAP 2 Payments for Floriculture and Nursery Crops</w:t>
      </w:r>
    </w:p>
    <w:p w14:paraId="08BE8575" w14:textId="77777777" w:rsidR="004F77DE" w:rsidRPr="004F77DE" w:rsidRDefault="004F77DE" w:rsidP="004F77DE">
      <w:pPr>
        <w:spacing w:before="100" w:beforeAutospacing="1" w:after="100" w:afterAutospacing="1" w:line="240" w:lineRule="auto"/>
        <w:rPr>
          <w:rFonts w:ascii="Public Sans" w:eastAsia="Times New Roman" w:hAnsi="Public Sans" w:cs="Times New Roman"/>
          <w:color w:val="212121"/>
        </w:rPr>
      </w:pPr>
      <w:r w:rsidRPr="004F77DE">
        <w:rPr>
          <w:rFonts w:ascii="Public Sans" w:eastAsia="Times New Roman" w:hAnsi="Public Sans" w:cs="Times New Roman"/>
          <w:color w:val="212121"/>
        </w:rPr>
        <w:t>Payments for floriculture and nursery crops eligible for CFAP 2, including cactus and Christmas trees, will be based on the producer’s 2019 sales of eligible commodities in a declining block format using the following payment factors, and will be equal to:</w:t>
      </w:r>
    </w:p>
    <w:p w14:paraId="1012A02A" w14:textId="77777777" w:rsidR="004F77DE" w:rsidRPr="004F77DE" w:rsidRDefault="004F77DE" w:rsidP="004F77DE">
      <w:pPr>
        <w:numPr>
          <w:ilvl w:val="0"/>
          <w:numId w:val="1"/>
        </w:numPr>
        <w:spacing w:before="100" w:beforeAutospacing="1" w:after="120" w:line="240" w:lineRule="auto"/>
        <w:ind w:left="570"/>
        <w:rPr>
          <w:rFonts w:ascii="Public Sans" w:eastAsia="Times New Roman" w:hAnsi="Public Sans" w:cs="Times New Roman"/>
          <w:color w:val="212121"/>
        </w:rPr>
      </w:pPr>
      <w:r w:rsidRPr="004F77DE">
        <w:rPr>
          <w:rFonts w:ascii="Public Sans" w:eastAsia="Times New Roman" w:hAnsi="Public Sans" w:cs="Times New Roman"/>
          <w:color w:val="212121"/>
        </w:rPr>
        <w:t>The amount of the producer’s eligible sales in calendar year 2019, multiplied by</w:t>
      </w:r>
    </w:p>
    <w:p w14:paraId="359729C0" w14:textId="6876B5AD" w:rsidR="004F77DE" w:rsidRDefault="004F77DE" w:rsidP="004F77DE">
      <w:pPr>
        <w:numPr>
          <w:ilvl w:val="0"/>
          <w:numId w:val="1"/>
        </w:numPr>
        <w:spacing w:before="100" w:beforeAutospacing="1" w:after="120" w:line="240" w:lineRule="auto"/>
        <w:ind w:left="570"/>
        <w:rPr>
          <w:rFonts w:ascii="Public Sans" w:eastAsia="Times New Roman" w:hAnsi="Public Sans" w:cs="Times New Roman"/>
          <w:color w:val="212121"/>
        </w:rPr>
      </w:pPr>
      <w:r w:rsidRPr="004F77DE">
        <w:rPr>
          <w:rFonts w:ascii="Public Sans" w:eastAsia="Times New Roman" w:hAnsi="Public Sans" w:cs="Times New Roman"/>
          <w:color w:val="212121"/>
        </w:rPr>
        <w:t>The payment rate for that range.</w:t>
      </w:r>
    </w:p>
    <w:p w14:paraId="2D24A536" w14:textId="77777777" w:rsidR="004F77DE" w:rsidRPr="004F77DE" w:rsidRDefault="004F77DE" w:rsidP="004F77DE">
      <w:pPr>
        <w:spacing w:before="100" w:beforeAutospacing="1" w:after="120" w:line="240" w:lineRule="auto"/>
        <w:rPr>
          <w:rFonts w:ascii="Public Sans" w:eastAsia="Times New Roman" w:hAnsi="Public Sans" w:cs="Times New Roman"/>
          <w:color w:val="212121"/>
        </w:rPr>
      </w:pPr>
    </w:p>
    <w:tbl>
      <w:tblPr>
        <w:tblW w:w="0" w:type="auto"/>
        <w:tblCellMar>
          <w:top w:w="15" w:type="dxa"/>
          <w:left w:w="15" w:type="dxa"/>
          <w:bottom w:w="15" w:type="dxa"/>
          <w:right w:w="15" w:type="dxa"/>
        </w:tblCellMar>
        <w:tblLook w:val="04A0" w:firstRow="1" w:lastRow="0" w:firstColumn="1" w:lastColumn="0" w:noHBand="0" w:noVBand="1"/>
      </w:tblPr>
      <w:tblGrid>
        <w:gridCol w:w="2827"/>
        <w:gridCol w:w="6272"/>
      </w:tblGrid>
      <w:tr w:rsidR="004F77DE" w:rsidRPr="004F77DE" w14:paraId="7BE9C314" w14:textId="77777777" w:rsidTr="004F77DE">
        <w:trPr>
          <w:tblHeader/>
        </w:trPr>
        <w:tc>
          <w:tcPr>
            <w:tcW w:w="0" w:type="auto"/>
            <w:tcBorders>
              <w:top w:val="single" w:sz="6" w:space="0" w:color="BBBBBB"/>
              <w:left w:val="single" w:sz="6" w:space="0" w:color="BBBBBB"/>
              <w:bottom w:val="single" w:sz="6" w:space="0" w:color="BBBBBB"/>
              <w:right w:val="single" w:sz="6" w:space="0" w:color="BBBBBB"/>
            </w:tcBorders>
            <w:shd w:val="clear" w:color="auto" w:fill="EDEDED"/>
            <w:tcMar>
              <w:top w:w="210" w:type="dxa"/>
              <w:left w:w="360" w:type="dxa"/>
              <w:bottom w:w="210" w:type="dxa"/>
              <w:right w:w="360" w:type="dxa"/>
            </w:tcMar>
            <w:vAlign w:val="center"/>
            <w:hideMark/>
          </w:tcPr>
          <w:p w14:paraId="032970F6" w14:textId="77777777" w:rsidR="004F77DE" w:rsidRPr="004F77DE" w:rsidRDefault="004F77DE" w:rsidP="004F77DE">
            <w:pPr>
              <w:spacing w:after="367" w:line="240" w:lineRule="auto"/>
              <w:rPr>
                <w:rFonts w:ascii="Times New Roman" w:eastAsia="Times New Roman" w:hAnsi="Times New Roman" w:cs="Times New Roman"/>
                <w:b/>
                <w:bCs/>
                <w:sz w:val="24"/>
                <w:szCs w:val="24"/>
              </w:rPr>
            </w:pPr>
            <w:r w:rsidRPr="004F77DE">
              <w:rPr>
                <w:rFonts w:ascii="Times New Roman" w:eastAsia="Times New Roman" w:hAnsi="Times New Roman" w:cs="Times New Roman"/>
                <w:b/>
                <w:bCs/>
                <w:sz w:val="24"/>
                <w:szCs w:val="24"/>
              </w:rPr>
              <w:lastRenderedPageBreak/>
              <w:t>2019 Sales Range</w:t>
            </w:r>
          </w:p>
        </w:tc>
        <w:tc>
          <w:tcPr>
            <w:tcW w:w="0" w:type="auto"/>
            <w:tcBorders>
              <w:top w:val="single" w:sz="6" w:space="0" w:color="BBBBBB"/>
              <w:left w:val="single" w:sz="6" w:space="0" w:color="BBBBBB"/>
              <w:bottom w:val="single" w:sz="6" w:space="0" w:color="BBBBBB"/>
              <w:right w:val="single" w:sz="6" w:space="0" w:color="BBBBBB"/>
            </w:tcBorders>
            <w:shd w:val="clear" w:color="auto" w:fill="EDEDED"/>
            <w:tcMar>
              <w:top w:w="210" w:type="dxa"/>
              <w:left w:w="360" w:type="dxa"/>
              <w:bottom w:w="210" w:type="dxa"/>
              <w:right w:w="360" w:type="dxa"/>
            </w:tcMar>
            <w:vAlign w:val="center"/>
            <w:hideMark/>
          </w:tcPr>
          <w:p w14:paraId="67DF4869" w14:textId="77777777" w:rsidR="004F77DE" w:rsidRPr="004F77DE" w:rsidRDefault="004F77DE" w:rsidP="004F77DE">
            <w:pPr>
              <w:spacing w:after="367" w:line="240" w:lineRule="auto"/>
              <w:rPr>
                <w:rFonts w:ascii="Times New Roman" w:eastAsia="Times New Roman" w:hAnsi="Times New Roman" w:cs="Times New Roman"/>
                <w:b/>
                <w:bCs/>
                <w:sz w:val="24"/>
                <w:szCs w:val="24"/>
              </w:rPr>
            </w:pPr>
            <w:r w:rsidRPr="004F77DE">
              <w:rPr>
                <w:rFonts w:ascii="Times New Roman" w:eastAsia="Times New Roman" w:hAnsi="Times New Roman" w:cs="Times New Roman"/>
                <w:b/>
                <w:bCs/>
                <w:sz w:val="24"/>
                <w:szCs w:val="24"/>
              </w:rPr>
              <w:t>Percent Payment Factor for the Producer’s 2019 Sales</w:t>
            </w:r>
            <w:r w:rsidRPr="004F77DE">
              <w:rPr>
                <w:rFonts w:ascii="Times New Roman" w:eastAsia="Times New Roman" w:hAnsi="Times New Roman" w:cs="Times New Roman"/>
                <w:b/>
                <w:bCs/>
                <w:sz w:val="24"/>
                <w:szCs w:val="24"/>
              </w:rPr>
              <w:br/>
              <w:t>of Eligible Commodities Falling in the Range</w:t>
            </w:r>
          </w:p>
        </w:tc>
      </w:tr>
      <w:tr w:rsidR="004F77DE" w:rsidRPr="004F77DE" w14:paraId="6397FB9D" w14:textId="77777777" w:rsidTr="004F77DE">
        <w:tc>
          <w:tcPr>
            <w:tcW w:w="0" w:type="auto"/>
            <w:tcBorders>
              <w:top w:val="single" w:sz="6" w:space="0" w:color="BBBBBB"/>
              <w:left w:val="single" w:sz="6" w:space="0" w:color="BBBBBB"/>
              <w:bottom w:val="single" w:sz="6" w:space="0" w:color="BBBBBB"/>
              <w:right w:val="single" w:sz="6" w:space="0" w:color="BBBBBB"/>
            </w:tcBorders>
            <w:tcMar>
              <w:top w:w="210" w:type="dxa"/>
              <w:left w:w="360" w:type="dxa"/>
              <w:bottom w:w="210" w:type="dxa"/>
              <w:right w:w="360" w:type="dxa"/>
            </w:tcMar>
            <w:vAlign w:val="center"/>
            <w:hideMark/>
          </w:tcPr>
          <w:p w14:paraId="51EDCC6D" w14:textId="77777777" w:rsidR="004F77DE" w:rsidRPr="004F77DE" w:rsidRDefault="004F77DE" w:rsidP="004F77DE">
            <w:pPr>
              <w:spacing w:after="367" w:line="240" w:lineRule="auto"/>
              <w:rPr>
                <w:rFonts w:ascii="Times New Roman" w:eastAsia="Times New Roman" w:hAnsi="Times New Roman" w:cs="Times New Roman"/>
                <w:sz w:val="24"/>
                <w:szCs w:val="24"/>
              </w:rPr>
            </w:pPr>
            <w:r w:rsidRPr="004F77DE">
              <w:rPr>
                <w:rFonts w:ascii="Times New Roman" w:eastAsia="Times New Roman" w:hAnsi="Times New Roman" w:cs="Times New Roman"/>
                <w:sz w:val="24"/>
                <w:szCs w:val="24"/>
              </w:rPr>
              <w:t>$0 to $49,999</w:t>
            </w:r>
          </w:p>
        </w:tc>
        <w:tc>
          <w:tcPr>
            <w:tcW w:w="0" w:type="auto"/>
            <w:tcBorders>
              <w:top w:val="single" w:sz="6" w:space="0" w:color="BBBBBB"/>
              <w:left w:val="single" w:sz="6" w:space="0" w:color="BBBBBB"/>
              <w:bottom w:val="single" w:sz="6" w:space="0" w:color="BBBBBB"/>
              <w:right w:val="single" w:sz="6" w:space="0" w:color="BBBBBB"/>
            </w:tcBorders>
            <w:tcMar>
              <w:top w:w="210" w:type="dxa"/>
              <w:left w:w="360" w:type="dxa"/>
              <w:bottom w:w="210" w:type="dxa"/>
              <w:right w:w="360" w:type="dxa"/>
            </w:tcMar>
            <w:vAlign w:val="center"/>
            <w:hideMark/>
          </w:tcPr>
          <w:p w14:paraId="2AC85CAC" w14:textId="77777777" w:rsidR="004F77DE" w:rsidRPr="004F77DE" w:rsidRDefault="004F77DE" w:rsidP="004F77DE">
            <w:pPr>
              <w:spacing w:after="367" w:line="240" w:lineRule="auto"/>
              <w:rPr>
                <w:rFonts w:ascii="Times New Roman" w:eastAsia="Times New Roman" w:hAnsi="Times New Roman" w:cs="Times New Roman"/>
                <w:sz w:val="24"/>
                <w:szCs w:val="24"/>
              </w:rPr>
            </w:pPr>
            <w:r w:rsidRPr="004F77DE">
              <w:rPr>
                <w:rFonts w:ascii="Times New Roman" w:eastAsia="Times New Roman" w:hAnsi="Times New Roman" w:cs="Times New Roman"/>
                <w:sz w:val="24"/>
                <w:szCs w:val="24"/>
              </w:rPr>
              <w:t>10.6%</w:t>
            </w:r>
          </w:p>
        </w:tc>
      </w:tr>
      <w:tr w:rsidR="004F77DE" w:rsidRPr="004F77DE" w14:paraId="3EB57401" w14:textId="77777777" w:rsidTr="004F77DE">
        <w:tc>
          <w:tcPr>
            <w:tcW w:w="0" w:type="auto"/>
            <w:tcBorders>
              <w:top w:val="single" w:sz="6" w:space="0" w:color="BBBBBB"/>
              <w:left w:val="single" w:sz="6" w:space="0" w:color="BBBBBB"/>
              <w:bottom w:val="single" w:sz="6" w:space="0" w:color="BBBBBB"/>
              <w:right w:val="single" w:sz="6" w:space="0" w:color="BBBBBB"/>
            </w:tcBorders>
            <w:tcMar>
              <w:top w:w="210" w:type="dxa"/>
              <w:left w:w="360" w:type="dxa"/>
              <w:bottom w:w="210" w:type="dxa"/>
              <w:right w:w="360" w:type="dxa"/>
            </w:tcMar>
            <w:vAlign w:val="center"/>
            <w:hideMark/>
          </w:tcPr>
          <w:p w14:paraId="589C9AAA" w14:textId="77777777" w:rsidR="004F77DE" w:rsidRPr="004F77DE" w:rsidRDefault="004F77DE" w:rsidP="004F77DE">
            <w:pPr>
              <w:spacing w:after="367" w:line="240" w:lineRule="auto"/>
              <w:rPr>
                <w:rFonts w:ascii="Times New Roman" w:eastAsia="Times New Roman" w:hAnsi="Times New Roman" w:cs="Times New Roman"/>
                <w:sz w:val="24"/>
                <w:szCs w:val="24"/>
              </w:rPr>
            </w:pPr>
            <w:r w:rsidRPr="004F77DE">
              <w:rPr>
                <w:rFonts w:ascii="Times New Roman" w:eastAsia="Times New Roman" w:hAnsi="Times New Roman" w:cs="Times New Roman"/>
                <w:sz w:val="24"/>
                <w:szCs w:val="24"/>
              </w:rPr>
              <w:t>$50,000 to $99,999</w:t>
            </w:r>
          </w:p>
        </w:tc>
        <w:tc>
          <w:tcPr>
            <w:tcW w:w="0" w:type="auto"/>
            <w:tcBorders>
              <w:top w:val="single" w:sz="6" w:space="0" w:color="BBBBBB"/>
              <w:left w:val="single" w:sz="6" w:space="0" w:color="BBBBBB"/>
              <w:bottom w:val="single" w:sz="6" w:space="0" w:color="BBBBBB"/>
              <w:right w:val="single" w:sz="6" w:space="0" w:color="BBBBBB"/>
            </w:tcBorders>
            <w:tcMar>
              <w:top w:w="210" w:type="dxa"/>
              <w:left w:w="360" w:type="dxa"/>
              <w:bottom w:w="210" w:type="dxa"/>
              <w:right w:w="360" w:type="dxa"/>
            </w:tcMar>
            <w:vAlign w:val="center"/>
            <w:hideMark/>
          </w:tcPr>
          <w:p w14:paraId="0AE6436D" w14:textId="77777777" w:rsidR="004F77DE" w:rsidRPr="004F77DE" w:rsidRDefault="004F77DE" w:rsidP="004F77DE">
            <w:pPr>
              <w:spacing w:after="367" w:line="240" w:lineRule="auto"/>
              <w:rPr>
                <w:rFonts w:ascii="Times New Roman" w:eastAsia="Times New Roman" w:hAnsi="Times New Roman" w:cs="Times New Roman"/>
                <w:sz w:val="24"/>
                <w:szCs w:val="24"/>
              </w:rPr>
            </w:pPr>
            <w:r w:rsidRPr="004F77DE">
              <w:rPr>
                <w:rFonts w:ascii="Times New Roman" w:eastAsia="Times New Roman" w:hAnsi="Times New Roman" w:cs="Times New Roman"/>
                <w:sz w:val="24"/>
                <w:szCs w:val="24"/>
              </w:rPr>
              <w:t>9.9%</w:t>
            </w:r>
          </w:p>
        </w:tc>
      </w:tr>
      <w:tr w:rsidR="004F77DE" w:rsidRPr="004F77DE" w14:paraId="43BB49E8" w14:textId="77777777" w:rsidTr="004F77DE">
        <w:tc>
          <w:tcPr>
            <w:tcW w:w="0" w:type="auto"/>
            <w:tcBorders>
              <w:top w:val="single" w:sz="6" w:space="0" w:color="BBBBBB"/>
              <w:left w:val="single" w:sz="6" w:space="0" w:color="BBBBBB"/>
              <w:bottom w:val="single" w:sz="6" w:space="0" w:color="BBBBBB"/>
              <w:right w:val="single" w:sz="6" w:space="0" w:color="BBBBBB"/>
            </w:tcBorders>
            <w:tcMar>
              <w:top w:w="210" w:type="dxa"/>
              <w:left w:w="360" w:type="dxa"/>
              <w:bottom w:w="210" w:type="dxa"/>
              <w:right w:w="360" w:type="dxa"/>
            </w:tcMar>
            <w:vAlign w:val="center"/>
            <w:hideMark/>
          </w:tcPr>
          <w:p w14:paraId="5230282C" w14:textId="77777777" w:rsidR="004F77DE" w:rsidRPr="004F77DE" w:rsidRDefault="004F77DE" w:rsidP="004F77DE">
            <w:pPr>
              <w:spacing w:after="367" w:line="240" w:lineRule="auto"/>
              <w:rPr>
                <w:rFonts w:ascii="Times New Roman" w:eastAsia="Times New Roman" w:hAnsi="Times New Roman" w:cs="Times New Roman"/>
                <w:sz w:val="24"/>
                <w:szCs w:val="24"/>
              </w:rPr>
            </w:pPr>
            <w:r w:rsidRPr="004F77DE">
              <w:rPr>
                <w:rFonts w:ascii="Times New Roman" w:eastAsia="Times New Roman" w:hAnsi="Times New Roman" w:cs="Times New Roman"/>
                <w:sz w:val="24"/>
                <w:szCs w:val="24"/>
              </w:rPr>
              <w:t>$100,000 to $499,999</w:t>
            </w:r>
          </w:p>
        </w:tc>
        <w:tc>
          <w:tcPr>
            <w:tcW w:w="0" w:type="auto"/>
            <w:tcBorders>
              <w:top w:val="single" w:sz="6" w:space="0" w:color="BBBBBB"/>
              <w:left w:val="single" w:sz="6" w:space="0" w:color="BBBBBB"/>
              <w:bottom w:val="single" w:sz="6" w:space="0" w:color="BBBBBB"/>
              <w:right w:val="single" w:sz="6" w:space="0" w:color="BBBBBB"/>
            </w:tcBorders>
            <w:tcMar>
              <w:top w:w="210" w:type="dxa"/>
              <w:left w:w="360" w:type="dxa"/>
              <w:bottom w:w="210" w:type="dxa"/>
              <w:right w:w="360" w:type="dxa"/>
            </w:tcMar>
            <w:vAlign w:val="center"/>
            <w:hideMark/>
          </w:tcPr>
          <w:p w14:paraId="1C8209B6" w14:textId="77777777" w:rsidR="004F77DE" w:rsidRPr="004F77DE" w:rsidRDefault="004F77DE" w:rsidP="004F77DE">
            <w:pPr>
              <w:spacing w:after="367" w:line="240" w:lineRule="auto"/>
              <w:rPr>
                <w:rFonts w:ascii="Times New Roman" w:eastAsia="Times New Roman" w:hAnsi="Times New Roman" w:cs="Times New Roman"/>
                <w:sz w:val="24"/>
                <w:szCs w:val="24"/>
              </w:rPr>
            </w:pPr>
            <w:r w:rsidRPr="004F77DE">
              <w:rPr>
                <w:rFonts w:ascii="Times New Roman" w:eastAsia="Times New Roman" w:hAnsi="Times New Roman" w:cs="Times New Roman"/>
                <w:sz w:val="24"/>
                <w:szCs w:val="24"/>
              </w:rPr>
              <w:t>9.7%</w:t>
            </w:r>
          </w:p>
        </w:tc>
      </w:tr>
      <w:tr w:rsidR="004F77DE" w:rsidRPr="004F77DE" w14:paraId="1B078331" w14:textId="77777777" w:rsidTr="004F77DE">
        <w:tc>
          <w:tcPr>
            <w:tcW w:w="0" w:type="auto"/>
            <w:tcBorders>
              <w:top w:val="single" w:sz="6" w:space="0" w:color="BBBBBB"/>
              <w:left w:val="single" w:sz="6" w:space="0" w:color="BBBBBB"/>
              <w:bottom w:val="single" w:sz="6" w:space="0" w:color="BBBBBB"/>
              <w:right w:val="single" w:sz="6" w:space="0" w:color="BBBBBB"/>
            </w:tcBorders>
            <w:tcMar>
              <w:top w:w="210" w:type="dxa"/>
              <w:left w:w="360" w:type="dxa"/>
              <w:bottom w:w="210" w:type="dxa"/>
              <w:right w:w="360" w:type="dxa"/>
            </w:tcMar>
            <w:vAlign w:val="center"/>
            <w:hideMark/>
          </w:tcPr>
          <w:p w14:paraId="030F2B5E" w14:textId="77777777" w:rsidR="004F77DE" w:rsidRPr="004F77DE" w:rsidRDefault="004F77DE" w:rsidP="004F77DE">
            <w:pPr>
              <w:spacing w:after="367" w:line="240" w:lineRule="auto"/>
              <w:rPr>
                <w:rFonts w:ascii="Times New Roman" w:eastAsia="Times New Roman" w:hAnsi="Times New Roman" w:cs="Times New Roman"/>
                <w:sz w:val="24"/>
                <w:szCs w:val="24"/>
              </w:rPr>
            </w:pPr>
            <w:r w:rsidRPr="004F77DE">
              <w:rPr>
                <w:rFonts w:ascii="Times New Roman" w:eastAsia="Times New Roman" w:hAnsi="Times New Roman" w:cs="Times New Roman"/>
                <w:sz w:val="24"/>
                <w:szCs w:val="24"/>
              </w:rPr>
              <w:t>$500,000 to $999,999</w:t>
            </w:r>
          </w:p>
        </w:tc>
        <w:tc>
          <w:tcPr>
            <w:tcW w:w="0" w:type="auto"/>
            <w:tcBorders>
              <w:top w:val="single" w:sz="6" w:space="0" w:color="BBBBBB"/>
              <w:left w:val="single" w:sz="6" w:space="0" w:color="BBBBBB"/>
              <w:bottom w:val="single" w:sz="6" w:space="0" w:color="BBBBBB"/>
              <w:right w:val="single" w:sz="6" w:space="0" w:color="BBBBBB"/>
            </w:tcBorders>
            <w:tcMar>
              <w:top w:w="210" w:type="dxa"/>
              <w:left w:w="360" w:type="dxa"/>
              <w:bottom w:w="210" w:type="dxa"/>
              <w:right w:w="360" w:type="dxa"/>
            </w:tcMar>
            <w:vAlign w:val="center"/>
            <w:hideMark/>
          </w:tcPr>
          <w:p w14:paraId="77FF5FB4" w14:textId="77777777" w:rsidR="004F77DE" w:rsidRPr="004F77DE" w:rsidRDefault="004F77DE" w:rsidP="004F77DE">
            <w:pPr>
              <w:spacing w:after="367" w:line="240" w:lineRule="auto"/>
              <w:rPr>
                <w:rFonts w:ascii="Times New Roman" w:eastAsia="Times New Roman" w:hAnsi="Times New Roman" w:cs="Times New Roman"/>
                <w:sz w:val="24"/>
                <w:szCs w:val="24"/>
              </w:rPr>
            </w:pPr>
            <w:r w:rsidRPr="004F77DE">
              <w:rPr>
                <w:rFonts w:ascii="Times New Roman" w:eastAsia="Times New Roman" w:hAnsi="Times New Roman" w:cs="Times New Roman"/>
                <w:sz w:val="24"/>
                <w:szCs w:val="24"/>
              </w:rPr>
              <w:t>9.0%</w:t>
            </w:r>
          </w:p>
        </w:tc>
      </w:tr>
      <w:tr w:rsidR="004F77DE" w:rsidRPr="004F77DE" w14:paraId="689DF8D8" w14:textId="77777777" w:rsidTr="004F77DE">
        <w:tc>
          <w:tcPr>
            <w:tcW w:w="0" w:type="auto"/>
            <w:tcBorders>
              <w:top w:val="single" w:sz="6" w:space="0" w:color="BBBBBB"/>
              <w:left w:val="single" w:sz="6" w:space="0" w:color="BBBBBB"/>
              <w:bottom w:val="single" w:sz="6" w:space="0" w:color="BBBBBB"/>
              <w:right w:val="single" w:sz="6" w:space="0" w:color="BBBBBB"/>
            </w:tcBorders>
            <w:tcMar>
              <w:top w:w="210" w:type="dxa"/>
              <w:left w:w="360" w:type="dxa"/>
              <w:bottom w:w="210" w:type="dxa"/>
              <w:right w:w="360" w:type="dxa"/>
            </w:tcMar>
            <w:vAlign w:val="center"/>
            <w:hideMark/>
          </w:tcPr>
          <w:p w14:paraId="0A40B084" w14:textId="77777777" w:rsidR="004F77DE" w:rsidRPr="004F77DE" w:rsidRDefault="004F77DE" w:rsidP="004F77DE">
            <w:pPr>
              <w:spacing w:after="367" w:line="240" w:lineRule="auto"/>
              <w:rPr>
                <w:rFonts w:ascii="Times New Roman" w:eastAsia="Times New Roman" w:hAnsi="Times New Roman" w:cs="Times New Roman"/>
                <w:sz w:val="24"/>
                <w:szCs w:val="24"/>
              </w:rPr>
            </w:pPr>
            <w:r w:rsidRPr="004F77DE">
              <w:rPr>
                <w:rFonts w:ascii="Times New Roman" w:eastAsia="Times New Roman" w:hAnsi="Times New Roman" w:cs="Times New Roman"/>
                <w:sz w:val="24"/>
                <w:szCs w:val="24"/>
              </w:rPr>
              <w:t>Sales over $1 million</w:t>
            </w:r>
          </w:p>
        </w:tc>
        <w:tc>
          <w:tcPr>
            <w:tcW w:w="0" w:type="auto"/>
            <w:tcBorders>
              <w:top w:val="single" w:sz="6" w:space="0" w:color="BBBBBB"/>
              <w:left w:val="single" w:sz="6" w:space="0" w:color="BBBBBB"/>
              <w:bottom w:val="single" w:sz="6" w:space="0" w:color="BBBBBB"/>
              <w:right w:val="single" w:sz="6" w:space="0" w:color="BBBBBB"/>
            </w:tcBorders>
            <w:tcMar>
              <w:top w:w="210" w:type="dxa"/>
              <w:left w:w="360" w:type="dxa"/>
              <w:bottom w:w="210" w:type="dxa"/>
              <w:right w:w="360" w:type="dxa"/>
            </w:tcMar>
            <w:vAlign w:val="center"/>
            <w:hideMark/>
          </w:tcPr>
          <w:p w14:paraId="6EC076E4" w14:textId="77777777" w:rsidR="004F77DE" w:rsidRPr="004F77DE" w:rsidRDefault="004F77DE" w:rsidP="004F77DE">
            <w:pPr>
              <w:spacing w:after="367" w:line="240" w:lineRule="auto"/>
              <w:rPr>
                <w:rFonts w:ascii="Times New Roman" w:eastAsia="Times New Roman" w:hAnsi="Times New Roman" w:cs="Times New Roman"/>
                <w:sz w:val="24"/>
                <w:szCs w:val="24"/>
              </w:rPr>
            </w:pPr>
            <w:r w:rsidRPr="004F77DE">
              <w:rPr>
                <w:rFonts w:ascii="Times New Roman" w:eastAsia="Times New Roman" w:hAnsi="Times New Roman" w:cs="Times New Roman"/>
                <w:sz w:val="24"/>
                <w:szCs w:val="24"/>
              </w:rPr>
              <w:t>8.8%</w:t>
            </w:r>
          </w:p>
        </w:tc>
      </w:tr>
    </w:tbl>
    <w:p w14:paraId="0F606597" w14:textId="77777777" w:rsidR="004F77DE" w:rsidRPr="004F77DE" w:rsidRDefault="004F77DE" w:rsidP="004F77DE">
      <w:pPr>
        <w:spacing w:before="100" w:beforeAutospacing="1" w:after="100" w:afterAutospacing="1" w:line="240" w:lineRule="auto"/>
        <w:rPr>
          <w:rFonts w:ascii="Public Sans" w:eastAsia="Times New Roman" w:hAnsi="Public Sans" w:cs="Times New Roman"/>
          <w:color w:val="212121"/>
        </w:rPr>
      </w:pPr>
      <w:r w:rsidRPr="004F77DE">
        <w:rPr>
          <w:rFonts w:ascii="Public Sans" w:eastAsia="Times New Roman" w:hAnsi="Public Sans" w:cs="Times New Roman"/>
          <w:color w:val="212121"/>
        </w:rPr>
        <w:t>Payments for producers who began farming in 2020 and had no sales in 2019 will be based on the producer’s actual 2020 sales as of the producer’s application date.</w:t>
      </w:r>
    </w:p>
    <w:p w14:paraId="002613A6" w14:textId="77777777" w:rsidR="004F77DE" w:rsidRPr="004F77DE" w:rsidRDefault="004F77DE" w:rsidP="004F77DE">
      <w:pPr>
        <w:spacing w:before="100" w:beforeAutospacing="1" w:after="100" w:afterAutospacing="1" w:line="240" w:lineRule="auto"/>
        <w:rPr>
          <w:rFonts w:ascii="Public Sans" w:eastAsia="Times New Roman" w:hAnsi="Public Sans" w:cs="Times New Roman"/>
          <w:color w:val="212121"/>
        </w:rPr>
      </w:pPr>
      <w:r w:rsidRPr="004F77DE">
        <w:rPr>
          <w:rFonts w:ascii="Public Sans" w:eastAsia="Times New Roman" w:hAnsi="Public Sans" w:cs="Times New Roman"/>
          <w:color w:val="212121"/>
        </w:rPr>
        <w:t>Eligible sales only include sales of raw commodities grown by the producer. The portion of sales derived from adding value to the commodity, such as processing and packaging, and from sales of products purchased for resale, is not included in the payment calculation.</w:t>
      </w:r>
    </w:p>
    <w:p w14:paraId="4FCC66D9" w14:textId="77777777" w:rsidR="004F77DE" w:rsidRPr="004F77DE" w:rsidRDefault="004F77DE" w:rsidP="004F77DE">
      <w:pPr>
        <w:spacing w:before="100" w:beforeAutospacing="1" w:after="100" w:afterAutospacing="1" w:line="240" w:lineRule="auto"/>
        <w:rPr>
          <w:rFonts w:ascii="Public Sans" w:eastAsia="Times New Roman" w:hAnsi="Public Sans" w:cs="Times New Roman"/>
          <w:color w:val="212121"/>
        </w:rPr>
      </w:pPr>
      <w:r w:rsidRPr="004F77DE">
        <w:rPr>
          <w:rFonts w:ascii="Public Sans" w:eastAsia="Times New Roman" w:hAnsi="Public Sans" w:cs="Times New Roman"/>
          <w:color w:val="212121"/>
        </w:rPr>
        <w:t>Example: A producer’s 2019 sales of eligible commodities totaled $75,000. The payment is calculated as ($49,999 times 10.6%) plus ($25,001 times 9.9%) equals a total payment of $7,775.</w:t>
      </w:r>
    </w:p>
    <w:p w14:paraId="6F927EBA" w14:textId="77777777" w:rsidR="004F77DE" w:rsidRPr="004F77DE" w:rsidRDefault="004F77DE" w:rsidP="004F77DE">
      <w:pPr>
        <w:spacing w:before="100" w:beforeAutospacing="1" w:after="100" w:afterAutospacing="1" w:line="240" w:lineRule="auto"/>
        <w:rPr>
          <w:rFonts w:ascii="Public Sans" w:eastAsia="Times New Roman" w:hAnsi="Public Sans" w:cs="Times New Roman"/>
          <w:color w:val="212121"/>
        </w:rPr>
      </w:pPr>
      <w:r w:rsidRPr="004F77DE">
        <w:rPr>
          <w:rFonts w:ascii="Public Sans" w:eastAsia="Times New Roman" w:hAnsi="Public Sans" w:cs="Times New Roman"/>
          <w:color w:val="212121"/>
        </w:rPr>
        <w:t>Additional examples of CFAP 2 sales commodity calculations for five hypothetical specialty commodity producers can be found on page 22 of the Cost-Benefit Analysis published under CFAP 2 Resources on </w:t>
      </w:r>
      <w:hyperlink r:id="rId6" w:history="1">
        <w:r w:rsidRPr="004F77DE">
          <w:rPr>
            <w:rFonts w:ascii="Public Sans" w:eastAsia="Times New Roman" w:hAnsi="Public Sans" w:cs="Times New Roman"/>
            <w:color w:val="4C2C92"/>
            <w:u w:val="single"/>
          </w:rPr>
          <w:t>farmers.gov/</w:t>
        </w:r>
        <w:proofErr w:type="spellStart"/>
        <w:r w:rsidRPr="004F77DE">
          <w:rPr>
            <w:rFonts w:ascii="Public Sans" w:eastAsia="Times New Roman" w:hAnsi="Public Sans" w:cs="Times New Roman"/>
            <w:color w:val="4C2C92"/>
            <w:u w:val="single"/>
          </w:rPr>
          <w:t>cfap</w:t>
        </w:r>
        <w:proofErr w:type="spellEnd"/>
      </w:hyperlink>
      <w:r w:rsidRPr="004F77DE">
        <w:rPr>
          <w:rFonts w:ascii="Public Sans" w:eastAsia="Times New Roman" w:hAnsi="Public Sans" w:cs="Times New Roman"/>
          <w:color w:val="212121"/>
        </w:rPr>
        <w:t>. We recommend referencing these examples to calculate your estimated CFAP 2 payments for horticulture and nursery crops.</w:t>
      </w:r>
    </w:p>
    <w:p w14:paraId="6214A360" w14:textId="77777777" w:rsidR="00077C8F" w:rsidRDefault="00077C8F">
      <w:bookmarkStart w:id="0" w:name="_GoBack"/>
      <w:bookmarkEnd w:id="0"/>
    </w:p>
    <w:sectPr w:rsidR="00077C8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ublic Sans">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4C094D"/>
    <w:multiLevelType w:val="multilevel"/>
    <w:tmpl w:val="E68071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77DE"/>
    <w:rsid w:val="00077C8F"/>
    <w:rsid w:val="004F77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0A95E2"/>
  <w15:chartTrackingRefBased/>
  <w15:docId w15:val="{ECEB866F-26D3-4270-97F1-990472AE96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4F77D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4F77DE"/>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F77DE"/>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4F77DE"/>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4F77D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4F77DE"/>
    <w:rPr>
      <w:color w:val="0000FF"/>
      <w:u w:val="single"/>
    </w:rPr>
  </w:style>
  <w:style w:type="character" w:styleId="Strong">
    <w:name w:val="Strong"/>
    <w:basedOn w:val="DefaultParagraphFont"/>
    <w:uiPriority w:val="22"/>
    <w:qFormat/>
    <w:rsid w:val="004F77D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37203126">
      <w:bodyDiv w:val="1"/>
      <w:marLeft w:val="0"/>
      <w:marRight w:val="0"/>
      <w:marTop w:val="0"/>
      <w:marBottom w:val="0"/>
      <w:divBdr>
        <w:top w:val="none" w:sz="0" w:space="0" w:color="auto"/>
        <w:left w:val="none" w:sz="0" w:space="0" w:color="auto"/>
        <w:bottom w:val="none" w:sz="0" w:space="0" w:color="auto"/>
        <w:right w:val="none" w:sz="0" w:space="0" w:color="auto"/>
      </w:divBdr>
      <w:divsChild>
        <w:div w:id="1619993194">
          <w:marLeft w:val="0"/>
          <w:marRight w:val="0"/>
          <w:marTop w:val="0"/>
          <w:marBottom w:val="0"/>
          <w:divBdr>
            <w:top w:val="none" w:sz="0" w:space="0" w:color="auto"/>
            <w:left w:val="none" w:sz="0" w:space="0" w:color="auto"/>
            <w:bottom w:val="none" w:sz="0" w:space="0" w:color="auto"/>
            <w:right w:val="none" w:sz="0" w:space="0" w:color="auto"/>
          </w:divBdr>
          <w:divsChild>
            <w:div w:id="1956979357">
              <w:marLeft w:val="-150"/>
              <w:marRight w:val="-150"/>
              <w:marTop w:val="0"/>
              <w:marBottom w:val="0"/>
              <w:divBdr>
                <w:top w:val="none" w:sz="0" w:space="0" w:color="auto"/>
                <w:left w:val="none" w:sz="0" w:space="0" w:color="auto"/>
                <w:bottom w:val="none" w:sz="0" w:space="0" w:color="auto"/>
                <w:right w:val="none" w:sz="0" w:space="0" w:color="auto"/>
              </w:divBdr>
              <w:divsChild>
                <w:div w:id="170944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965045">
          <w:marLeft w:val="0"/>
          <w:marRight w:val="0"/>
          <w:marTop w:val="0"/>
          <w:marBottom w:val="0"/>
          <w:divBdr>
            <w:top w:val="none" w:sz="0" w:space="0" w:color="auto"/>
            <w:left w:val="none" w:sz="0" w:space="0" w:color="auto"/>
            <w:bottom w:val="none" w:sz="0" w:space="0" w:color="auto"/>
            <w:right w:val="none" w:sz="0" w:space="0" w:color="auto"/>
          </w:divBdr>
          <w:divsChild>
            <w:div w:id="1398094425">
              <w:marLeft w:val="0"/>
              <w:marRight w:val="0"/>
              <w:marTop w:val="0"/>
              <w:marBottom w:val="0"/>
              <w:divBdr>
                <w:top w:val="none" w:sz="0" w:space="0" w:color="auto"/>
                <w:left w:val="none" w:sz="0" w:space="0" w:color="auto"/>
                <w:bottom w:val="none" w:sz="0" w:space="0" w:color="auto"/>
                <w:right w:val="none" w:sz="0" w:space="0" w:color="auto"/>
              </w:divBdr>
              <w:divsChild>
                <w:div w:id="1854372220">
                  <w:marLeft w:val="0"/>
                  <w:marRight w:val="0"/>
                  <w:marTop w:val="0"/>
                  <w:marBottom w:val="0"/>
                  <w:divBdr>
                    <w:top w:val="none" w:sz="0" w:space="0" w:color="auto"/>
                    <w:left w:val="none" w:sz="0" w:space="0" w:color="auto"/>
                    <w:bottom w:val="none" w:sz="0" w:space="0" w:color="auto"/>
                    <w:right w:val="none" w:sz="0" w:space="0" w:color="auto"/>
                  </w:divBdr>
                  <w:divsChild>
                    <w:div w:id="1117018394">
                      <w:marLeft w:val="-150"/>
                      <w:marRight w:val="-150"/>
                      <w:marTop w:val="0"/>
                      <w:marBottom w:val="0"/>
                      <w:divBdr>
                        <w:top w:val="none" w:sz="0" w:space="0" w:color="auto"/>
                        <w:left w:val="none" w:sz="0" w:space="0" w:color="auto"/>
                        <w:bottom w:val="none" w:sz="0" w:space="0" w:color="auto"/>
                        <w:right w:val="none" w:sz="0" w:space="0" w:color="auto"/>
                      </w:divBdr>
                      <w:divsChild>
                        <w:div w:id="1004170589">
                          <w:marLeft w:val="0"/>
                          <w:marRight w:val="0"/>
                          <w:marTop w:val="0"/>
                          <w:marBottom w:val="0"/>
                          <w:divBdr>
                            <w:top w:val="none" w:sz="0" w:space="0" w:color="auto"/>
                            <w:left w:val="none" w:sz="0" w:space="0" w:color="auto"/>
                            <w:bottom w:val="none" w:sz="0" w:space="0" w:color="auto"/>
                            <w:right w:val="none" w:sz="0" w:space="0" w:color="auto"/>
                          </w:divBdr>
                          <w:divsChild>
                            <w:div w:id="1545366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9838415">
                  <w:marLeft w:val="0"/>
                  <w:marRight w:val="0"/>
                  <w:marTop w:val="0"/>
                  <w:marBottom w:val="0"/>
                  <w:divBdr>
                    <w:top w:val="none" w:sz="0" w:space="0" w:color="auto"/>
                    <w:left w:val="none" w:sz="0" w:space="0" w:color="auto"/>
                    <w:bottom w:val="none" w:sz="0" w:space="0" w:color="auto"/>
                    <w:right w:val="none" w:sz="0" w:space="0" w:color="auto"/>
                  </w:divBdr>
                  <w:divsChild>
                    <w:div w:id="1639676799">
                      <w:marLeft w:val="0"/>
                      <w:marRight w:val="0"/>
                      <w:marTop w:val="0"/>
                      <w:marBottom w:val="0"/>
                      <w:divBdr>
                        <w:top w:val="none" w:sz="0" w:space="0" w:color="auto"/>
                        <w:left w:val="none" w:sz="0" w:space="0" w:color="auto"/>
                        <w:bottom w:val="none" w:sz="0" w:space="0" w:color="auto"/>
                        <w:right w:val="none" w:sz="0" w:space="0" w:color="auto"/>
                      </w:divBdr>
                      <w:divsChild>
                        <w:div w:id="955524705">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345403107">
                  <w:marLeft w:val="0"/>
                  <w:marRight w:val="0"/>
                  <w:marTop w:val="0"/>
                  <w:marBottom w:val="0"/>
                  <w:divBdr>
                    <w:top w:val="none" w:sz="0" w:space="0" w:color="auto"/>
                    <w:left w:val="none" w:sz="0" w:space="0" w:color="auto"/>
                    <w:bottom w:val="none" w:sz="0" w:space="0" w:color="auto"/>
                    <w:right w:val="none" w:sz="0" w:space="0" w:color="auto"/>
                  </w:divBdr>
                  <w:divsChild>
                    <w:div w:id="1112213565">
                      <w:marLeft w:val="0"/>
                      <w:marRight w:val="0"/>
                      <w:marTop w:val="0"/>
                      <w:marBottom w:val="0"/>
                      <w:divBdr>
                        <w:top w:val="none" w:sz="0" w:space="0" w:color="auto"/>
                        <w:left w:val="none" w:sz="0" w:space="0" w:color="auto"/>
                        <w:bottom w:val="none" w:sz="0" w:space="0" w:color="auto"/>
                        <w:right w:val="none" w:sz="0" w:space="0" w:color="auto"/>
                      </w:divBdr>
                      <w:divsChild>
                        <w:div w:id="1655068957">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1337727457">
                  <w:marLeft w:val="0"/>
                  <w:marRight w:val="0"/>
                  <w:marTop w:val="0"/>
                  <w:marBottom w:val="0"/>
                  <w:divBdr>
                    <w:top w:val="none" w:sz="0" w:space="0" w:color="auto"/>
                    <w:left w:val="none" w:sz="0" w:space="0" w:color="auto"/>
                    <w:bottom w:val="none" w:sz="0" w:space="0" w:color="auto"/>
                    <w:right w:val="none" w:sz="0" w:space="0" w:color="auto"/>
                  </w:divBdr>
                  <w:divsChild>
                    <w:div w:id="731348896">
                      <w:marLeft w:val="0"/>
                      <w:marRight w:val="0"/>
                      <w:marTop w:val="0"/>
                      <w:marBottom w:val="0"/>
                      <w:divBdr>
                        <w:top w:val="none" w:sz="0" w:space="0" w:color="auto"/>
                        <w:left w:val="none" w:sz="0" w:space="0" w:color="auto"/>
                        <w:bottom w:val="none" w:sz="0" w:space="0" w:color="auto"/>
                        <w:right w:val="none" w:sz="0" w:space="0" w:color="auto"/>
                      </w:divBdr>
                      <w:divsChild>
                        <w:div w:id="241842244">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farmers.gov/cfap" TargetMode="External"/><Relationship Id="rId5" Type="http://schemas.openxmlformats.org/officeDocument/2006/relationships/hyperlink" Target="https://www.farmers.gov/cfap"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474</Words>
  <Characters>2708</Characters>
  <Application>Microsoft Office Word</Application>
  <DocSecurity>0</DocSecurity>
  <Lines>22</Lines>
  <Paragraphs>6</Paragraphs>
  <ScaleCrop>false</ScaleCrop>
  <Company/>
  <LinksUpToDate>false</LinksUpToDate>
  <CharactersWithSpaces>3176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Miller, Nancy - FSA, Westford, MA</dc:creator>
  <cp:keywords/>
  <dc:description/>
  <cp:lastModifiedBy>Miller, Nancy - FSA, Westford, MA</cp:lastModifiedBy>
  <cp:revision>1</cp:revision>
  <dcterms:created xsi:type="dcterms:W3CDTF">2020-10-05T16:34:00Z</dcterms:created>
  <dcterms:modified xsi:type="dcterms:W3CDTF">2020-10-05T16:35:00Z</dcterms:modified>
</cp:coreProperties>
</file>